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5B" w:rsidRPr="0059365B" w:rsidRDefault="0059365B" w:rsidP="0059365B">
      <w:pPr>
        <w:pStyle w:val="NormalWeb"/>
        <w:jc w:val="center"/>
        <w:rPr>
          <w:rFonts w:ascii="Arial" w:hAnsi="Arial" w:cs="Arial"/>
          <w:color w:val="E36C0A" w:themeColor="accent6" w:themeShade="BF"/>
          <w:sz w:val="22"/>
          <w:szCs w:val="22"/>
          <w:lang w:val="es-ES"/>
        </w:rPr>
      </w:pPr>
      <w:r w:rsidRPr="0059365B">
        <w:rPr>
          <w:rFonts w:ascii="Arial" w:hAnsi="Arial" w:cs="Arial"/>
          <w:b/>
          <w:color w:val="E36C0A" w:themeColor="accent6" w:themeShade="BF"/>
          <w:lang w:val="es-ES"/>
        </w:rPr>
        <w:t>CIRCUITO</w:t>
      </w:r>
      <w:r w:rsidRPr="0059365B">
        <w:rPr>
          <w:rFonts w:ascii="Arial" w:hAnsi="Arial" w:cs="Arial"/>
          <w:color w:val="E36C0A" w:themeColor="accent6" w:themeShade="BF"/>
          <w:sz w:val="22"/>
          <w:szCs w:val="22"/>
          <w:lang w:val="es-ES"/>
        </w:rPr>
        <w:t xml:space="preserve"> </w:t>
      </w:r>
      <w:r w:rsidRPr="0059365B">
        <w:rPr>
          <w:rFonts w:ascii="Arial" w:hAnsi="Arial" w:cs="Arial"/>
          <w:b/>
          <w:color w:val="E36C0A" w:themeColor="accent6" w:themeShade="BF"/>
          <w:lang w:val="es-ES"/>
        </w:rPr>
        <w:t>ELECTRONICO</w:t>
      </w:r>
    </w:p>
    <w:p w:rsidR="0059365B" w:rsidRDefault="00C858C1" w:rsidP="00C858C1">
      <w:pPr>
        <w:pStyle w:val="NormalWeb"/>
        <w:jc w:val="both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Un </w:t>
      </w:r>
      <w:r w:rsidRPr="00F96F6E">
        <w:rPr>
          <w:rFonts w:ascii="Arial" w:hAnsi="Arial" w:cs="Arial"/>
          <w:bCs/>
          <w:color w:val="000000" w:themeColor="text1"/>
          <w:sz w:val="22"/>
          <w:szCs w:val="22"/>
          <w:lang w:val="es-ES"/>
        </w:rPr>
        <w:t>circuito</w:t>
      </w:r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es una red eléctrica (interconexión de dos o más componentes, tales como </w:t>
      </w:r>
      <w:hyperlink r:id="rId8" w:tooltip="Resistencia eléctrica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resistencias,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</w:t>
      </w:r>
      <w:hyperlink r:id="rId9" w:tooltip="Inductor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inductores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, </w:t>
      </w:r>
      <w:hyperlink r:id="rId10" w:tooltip="Condensador (eléctrico)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capacitores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, </w:t>
      </w:r>
      <w:hyperlink r:id="rId11" w:tooltip="Fuente eléctrica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fuentes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, </w:t>
      </w:r>
      <w:hyperlink r:id="rId12" w:tooltip="Interruptor eléctrico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interruptores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y </w:t>
      </w:r>
      <w:hyperlink r:id="rId13" w:tooltip="Componente electrónico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semiconductores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) que contiene al menos una trayectoria cerrada. Los circuitos que contienen solo fuentes, componentes lineales (resistores, capacitores, inductores), y elementos de distribución lineales (líneas de transmisión o cables) pueden analizarse por métodos algebraicos para determinar su comportamiento en </w:t>
      </w:r>
      <w:hyperlink r:id="rId14" w:tooltip="Corriente directa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corriente directa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o en </w:t>
      </w:r>
      <w:hyperlink r:id="rId15" w:tooltip="Corriente alterna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corriente alterna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. Un circuito que tiene </w:t>
      </w:r>
      <w:hyperlink r:id="rId16" w:tooltip="Electrónica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componentes electrónicos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es denominado un circuito </w:t>
      </w:r>
      <w:hyperlink r:id="rId17" w:tooltip="Electrónica" w:history="1">
        <w:r w:rsidRPr="00F96F6E">
          <w:rPr>
            <w:rStyle w:val="Hipervnculo"/>
            <w:rFonts w:ascii="Arial" w:hAnsi="Arial" w:cs="Arial"/>
            <w:color w:val="000000" w:themeColor="text1"/>
            <w:sz w:val="22"/>
            <w:szCs w:val="22"/>
            <w:u w:val="none"/>
            <w:lang w:val="es-ES"/>
          </w:rPr>
          <w:t>electrónico</w:t>
        </w:r>
      </w:hyperlink>
      <w:r w:rsidRPr="00F96F6E">
        <w:rPr>
          <w:rFonts w:ascii="Arial" w:hAnsi="Arial" w:cs="Arial"/>
          <w:color w:val="000000" w:themeColor="text1"/>
          <w:sz w:val="22"/>
          <w:szCs w:val="22"/>
          <w:lang w:val="es-ES"/>
        </w:rPr>
        <w:t>. Estas redes son generalmente no lineales y requieren diseños y herramientas de análisis mucho más complejos.</w:t>
      </w:r>
    </w:p>
    <w:p w:rsidR="00C858C1" w:rsidRDefault="0059365B" w:rsidP="0059365B">
      <w:pPr>
        <w:pStyle w:val="NormalWeb"/>
        <w:jc w:val="center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>
        <w:rPr>
          <w:noProof/>
        </w:rPr>
        <w:drawing>
          <wp:inline distT="0" distB="0" distL="0" distR="0">
            <wp:extent cx="2685239" cy="1799617"/>
            <wp:effectExtent l="95250" t="57150" r="77011" b="581633"/>
            <wp:docPr id="3" name="Imagen 1" descr="http://www.electronica2000.net/curso_elec/imagenes/circuit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ectronica2000.net/curso_elec/imagenes/circuito1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260" cy="1799631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C858C1" w:rsidRPr="0059365B" w:rsidRDefault="001C0F56" w:rsidP="00C858C1">
      <w:pPr>
        <w:tabs>
          <w:tab w:val="left" w:pos="3049"/>
        </w:tabs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215868" w:themeColor="accent5" w:themeShade="80"/>
          <w:lang w:eastAsia="es-AR"/>
        </w:rPr>
      </w:pPr>
      <w:r w:rsidRPr="0059365B">
        <w:rPr>
          <w:rFonts w:ascii="Arial" w:eastAsia="Times New Roman" w:hAnsi="Arial" w:cs="Arial"/>
          <w:b/>
          <w:bCs/>
          <w:color w:val="215868" w:themeColor="accent5" w:themeShade="80"/>
          <w:lang w:eastAsia="es-AR"/>
        </w:rPr>
        <w:t>Radio frecuencia</w:t>
      </w:r>
    </w:p>
    <w:p w:rsidR="001C0F56" w:rsidRPr="00C858C1" w:rsidRDefault="00C858C1" w:rsidP="00C858C1">
      <w:pPr>
        <w:tabs>
          <w:tab w:val="left" w:pos="3049"/>
        </w:tabs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Cs/>
          <w:color w:val="000000" w:themeColor="text1"/>
          <w:lang w:eastAsia="es-AR"/>
        </w:rPr>
      </w:pPr>
      <w:r w:rsidRPr="00C858C1">
        <w:rPr>
          <w:rFonts w:ascii="Arial" w:hAnsi="Arial" w:cs="Arial"/>
          <w:color w:val="000000" w:themeColor="text1"/>
          <w:lang w:val="es-ES"/>
        </w:rPr>
        <w:t xml:space="preserve">También denominado </w:t>
      </w:r>
      <w:r w:rsidRPr="00C858C1">
        <w:rPr>
          <w:rFonts w:ascii="Arial" w:hAnsi="Arial" w:cs="Arial"/>
          <w:bCs/>
          <w:color w:val="000000" w:themeColor="text1"/>
          <w:lang w:val="es-ES"/>
        </w:rPr>
        <w:t>espectro de radiofrecuencia</w:t>
      </w:r>
      <w:r w:rsidRPr="00C858C1">
        <w:rPr>
          <w:rFonts w:ascii="Arial" w:hAnsi="Arial" w:cs="Arial"/>
          <w:color w:val="000000" w:themeColor="text1"/>
          <w:lang w:val="es-ES"/>
        </w:rPr>
        <w:t xml:space="preserve"> o </w:t>
      </w:r>
      <w:r w:rsidRPr="00C858C1">
        <w:rPr>
          <w:rFonts w:ascii="Arial" w:hAnsi="Arial" w:cs="Arial"/>
          <w:bCs/>
          <w:color w:val="000000" w:themeColor="text1"/>
          <w:lang w:val="es-ES"/>
        </w:rPr>
        <w:t>RF</w:t>
      </w:r>
      <w:r w:rsidRPr="00C858C1">
        <w:rPr>
          <w:rFonts w:ascii="Arial" w:hAnsi="Arial" w:cs="Arial"/>
          <w:color w:val="000000" w:themeColor="text1"/>
          <w:lang w:val="es-ES"/>
        </w:rPr>
        <w:t xml:space="preserve">, se aplica a la porción menos </w:t>
      </w:r>
      <w:proofErr w:type="gramStart"/>
      <w:r w:rsidRPr="00C858C1">
        <w:rPr>
          <w:rFonts w:ascii="Arial" w:hAnsi="Arial" w:cs="Arial"/>
          <w:color w:val="000000" w:themeColor="text1"/>
          <w:lang w:val="es-ES"/>
        </w:rPr>
        <w:t>energética</w:t>
      </w:r>
      <w:proofErr w:type="gramEnd"/>
      <w:r w:rsidRPr="00C858C1">
        <w:rPr>
          <w:rFonts w:ascii="Arial" w:hAnsi="Arial" w:cs="Arial"/>
          <w:color w:val="000000" w:themeColor="text1"/>
          <w:lang w:val="es-ES"/>
        </w:rPr>
        <w:t xml:space="preserve"> del </w:t>
      </w:r>
      <w:hyperlink r:id="rId19" w:tooltip="Espectro electromagnético" w:history="1">
        <w:r w:rsidRPr="00C858C1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espectro electromagnético</w:t>
        </w:r>
      </w:hyperlink>
      <w:r w:rsidRPr="00C858C1">
        <w:rPr>
          <w:rFonts w:ascii="Arial" w:hAnsi="Arial" w:cs="Arial"/>
          <w:color w:val="000000" w:themeColor="text1"/>
          <w:lang w:val="es-ES"/>
        </w:rPr>
        <w:t xml:space="preserve">, situada entre unos 3 </w:t>
      </w:r>
      <w:hyperlink r:id="rId20" w:tooltip="Hercio" w:history="1">
        <w:r w:rsidRPr="00C858C1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Hz</w:t>
        </w:r>
      </w:hyperlink>
      <w:r w:rsidRPr="00C858C1">
        <w:rPr>
          <w:rFonts w:ascii="Arial" w:hAnsi="Arial" w:cs="Arial"/>
          <w:color w:val="000000" w:themeColor="text1"/>
          <w:lang w:val="es-ES"/>
        </w:rPr>
        <w:t xml:space="preserve"> y unos 300 </w:t>
      </w:r>
      <w:hyperlink r:id="rId21" w:tooltip="GHz" w:history="1">
        <w:proofErr w:type="spellStart"/>
        <w:r w:rsidRPr="00C858C1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GHz</w:t>
        </w:r>
      </w:hyperlink>
      <w:r w:rsidRPr="00C858C1">
        <w:rPr>
          <w:rFonts w:ascii="Arial" w:hAnsi="Arial" w:cs="Arial"/>
          <w:color w:val="000000" w:themeColor="text1"/>
          <w:lang w:val="es-ES"/>
        </w:rPr>
        <w:t>.</w:t>
      </w:r>
      <w:proofErr w:type="spellEnd"/>
      <w:r w:rsidRPr="00C858C1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C858C1">
        <w:rPr>
          <w:rFonts w:ascii="Arial" w:hAnsi="Arial" w:cs="Arial"/>
          <w:color w:val="000000" w:themeColor="text1"/>
          <w:lang w:val="es-ES"/>
        </w:rPr>
        <w:t>Hertz</w:t>
      </w:r>
      <w:proofErr w:type="spellEnd"/>
      <w:r w:rsidRPr="00C858C1">
        <w:rPr>
          <w:rFonts w:ascii="Arial" w:hAnsi="Arial" w:cs="Arial"/>
          <w:color w:val="000000" w:themeColor="text1"/>
          <w:lang w:val="es-ES"/>
        </w:rPr>
        <w:t xml:space="preserve"> es la unidad de medida de la frecuencia de las ondas, y corresponde a un ciclo por segundo. Las </w:t>
      </w:r>
      <w:hyperlink r:id="rId22" w:tooltip="Onda electromagnética" w:history="1">
        <w:r w:rsidRPr="00C858C1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ondas electromagnéticas</w:t>
        </w:r>
      </w:hyperlink>
      <w:r w:rsidRPr="00C858C1">
        <w:rPr>
          <w:rFonts w:ascii="Arial" w:hAnsi="Arial" w:cs="Arial"/>
          <w:color w:val="000000" w:themeColor="text1"/>
          <w:lang w:val="es-ES"/>
        </w:rPr>
        <w:t xml:space="preserve"> de esta región del espectro se pueden transmitir aplicando la </w:t>
      </w:r>
      <w:hyperlink r:id="rId23" w:tooltip="Corriente alterna" w:history="1">
        <w:r w:rsidRPr="00C858C1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corriente alterna</w:t>
        </w:r>
      </w:hyperlink>
      <w:r w:rsidRPr="00C858C1">
        <w:rPr>
          <w:rFonts w:ascii="Arial" w:hAnsi="Arial" w:cs="Arial"/>
          <w:color w:val="000000" w:themeColor="text1"/>
          <w:lang w:val="es-ES"/>
        </w:rPr>
        <w:t xml:space="preserve"> originada en un generador a una </w:t>
      </w:r>
      <w:hyperlink r:id="rId24" w:tooltip="Antena" w:history="1">
        <w:r w:rsidRPr="00C858C1">
          <w:rPr>
            <w:rStyle w:val="Hipervnculo"/>
            <w:rFonts w:ascii="Arial" w:hAnsi="Arial" w:cs="Arial"/>
            <w:color w:val="000000" w:themeColor="text1"/>
            <w:u w:val="none"/>
            <w:lang w:val="es-ES"/>
          </w:rPr>
          <w:t>antena</w:t>
        </w:r>
      </w:hyperlink>
      <w:r w:rsidRPr="00C858C1">
        <w:rPr>
          <w:rFonts w:ascii="Arial" w:hAnsi="Arial" w:cs="Arial"/>
          <w:color w:val="000000" w:themeColor="text1"/>
          <w:lang w:val="es-ES"/>
        </w:rPr>
        <w:t>.</w:t>
      </w:r>
      <w:r w:rsidRPr="00C858C1">
        <w:rPr>
          <w:rFonts w:ascii="Arial" w:eastAsia="Times New Roman" w:hAnsi="Arial" w:cs="Arial"/>
          <w:bCs/>
          <w:color w:val="000000" w:themeColor="text1"/>
          <w:lang w:eastAsia="es-AR"/>
        </w:rPr>
        <w:tab/>
      </w: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59365B" w:rsidRDefault="0059365B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  <w:lang w:eastAsia="es-AR"/>
        </w:rPr>
      </w:pPr>
    </w:p>
    <w:p w:rsidR="00F96F6E" w:rsidRPr="0059365B" w:rsidRDefault="001C0F56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es-AR"/>
        </w:rPr>
      </w:pPr>
      <w:r w:rsidRPr="0059365B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es-AR"/>
        </w:rPr>
        <w:lastRenderedPageBreak/>
        <w:t xml:space="preserve">Protección </w:t>
      </w:r>
      <w:r w:rsidR="00C858C1" w:rsidRPr="0059365B"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es-AR"/>
        </w:rPr>
        <w:t>electrónica</w:t>
      </w:r>
    </w:p>
    <w:p w:rsidR="001C0F56" w:rsidRPr="0059365B" w:rsidRDefault="001C0F56" w:rsidP="00F96F6E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15868" w:themeColor="accent5" w:themeShade="80"/>
          <w:sz w:val="24"/>
          <w:szCs w:val="24"/>
          <w:lang w:eastAsia="es-AR"/>
        </w:rPr>
      </w:pPr>
      <w:r w:rsidRPr="0059365B">
        <w:rPr>
          <w:rFonts w:ascii="Arial" w:eastAsia="Times New Roman" w:hAnsi="Arial" w:cs="Arial"/>
          <w:b/>
          <w:bCs/>
          <w:color w:val="215868" w:themeColor="accent5" w:themeShade="80"/>
          <w:lang w:eastAsia="es-AR"/>
        </w:rPr>
        <w:t xml:space="preserve">Protección sobre tensión para F.A. </w:t>
      </w:r>
    </w:p>
    <w:p w:rsidR="001C0F56" w:rsidRPr="001C0F56" w:rsidRDefault="001C0F56" w:rsidP="00C858C1">
      <w:pPr>
        <w:spacing w:after="0" w:line="240" w:lineRule="auto"/>
        <w:jc w:val="center"/>
        <w:rPr>
          <w:rFonts w:ascii="Arial" w:eastAsia="Times New Roman" w:hAnsi="Arial" w:cs="Arial"/>
          <w:lang w:eastAsia="es-AR"/>
        </w:rPr>
      </w:pPr>
      <w:r w:rsidRPr="00C858C1">
        <w:rPr>
          <w:rFonts w:ascii="Arial" w:eastAsia="Times New Roman" w:hAnsi="Arial" w:cs="Arial"/>
          <w:noProof/>
          <w:lang w:eastAsia="es-AR"/>
        </w:rPr>
        <w:drawing>
          <wp:inline distT="0" distB="0" distL="0" distR="0">
            <wp:extent cx="5671631" cy="2431915"/>
            <wp:effectExtent l="114300" t="76200" r="119569" b="82685"/>
            <wp:docPr id="1" name="Imagen 1" descr="Protección sobre tensión para F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tección sobre tensión para F.A.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946" cy="2432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C0F56" w:rsidRPr="001C0F56" w:rsidRDefault="001C0F56" w:rsidP="00C858C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s-AR"/>
        </w:rPr>
      </w:pPr>
      <w:r w:rsidRPr="001C0F56">
        <w:rPr>
          <w:rFonts w:ascii="Arial" w:eastAsia="Times New Roman" w:hAnsi="Arial" w:cs="Arial"/>
          <w:lang w:eastAsia="es-AR"/>
        </w:rPr>
        <w:t>Muchas veces necesitamos alimentar algún circuito o elemento muy costoso cuya alimentación no puede ser superior a cierto valor de tensión. Este circuito es ideal para proteger a ese tipo de carga. Cuando la tensión que entrega la fuente es algunos milivoltios mayor que la fijada a través de R1 y R2 la salida del A.O. será positiva, disparando de esta forma el SCR. Esto hace que la carga sea cortocircuitada por dicho elemento, con lo cuál su tensión disminuye a cero. Es importante que la fuente posea protección contra cortocircuitos, sino se verá dañada por la gran corriente que se producirá cuando se dispare el SCR. Una vez disparado, basta</w:t>
      </w:r>
      <w:r w:rsidR="00C858C1">
        <w:rPr>
          <w:rFonts w:ascii="Arial" w:eastAsia="Times New Roman" w:hAnsi="Arial" w:cs="Arial"/>
          <w:lang w:eastAsia="es-AR"/>
        </w:rPr>
        <w:t xml:space="preserve">rá apagar la fuente para volver </w:t>
      </w:r>
      <w:r w:rsidRPr="001C0F56">
        <w:rPr>
          <w:rFonts w:ascii="Arial" w:eastAsia="Times New Roman" w:hAnsi="Arial" w:cs="Arial"/>
          <w:lang w:eastAsia="es-AR"/>
        </w:rPr>
        <w:t xml:space="preserve">al funcionamiento normal. </w:t>
      </w:r>
      <w:r w:rsidRPr="001C0F56">
        <w:rPr>
          <w:rFonts w:ascii="Arial" w:eastAsia="Times New Roman" w:hAnsi="Arial" w:cs="Arial"/>
          <w:lang w:eastAsia="es-AR"/>
        </w:rPr>
        <w:br/>
        <w:t>La forma de fijar la tensión máxima de salida, es decir la tensión a la que se dispara el SCR, es a través del divisor formado por R1 y R2 y la tensión de salida de la fuente.</w:t>
      </w:r>
      <w:r w:rsidRPr="001C0F56">
        <w:rPr>
          <w:rFonts w:ascii="Arial" w:eastAsia="Times New Roman" w:hAnsi="Arial" w:cs="Arial"/>
          <w:lang w:eastAsia="es-AR"/>
        </w:rPr>
        <w:br/>
        <w:t xml:space="preserve">Dicha tensión está dada por: </w:t>
      </w:r>
    </w:p>
    <w:p w:rsidR="001C0F56" w:rsidRPr="001C0F56" w:rsidRDefault="001C0F56" w:rsidP="001C0F56">
      <w:pPr>
        <w:spacing w:after="0" w:line="240" w:lineRule="auto"/>
        <w:jc w:val="center"/>
        <w:rPr>
          <w:rFonts w:ascii="Arial" w:eastAsia="Times New Roman" w:hAnsi="Arial" w:cs="Arial"/>
          <w:lang w:eastAsia="es-AR"/>
        </w:rPr>
      </w:pPr>
      <w:r w:rsidRPr="00C858C1">
        <w:rPr>
          <w:rFonts w:ascii="Arial" w:eastAsia="Times New Roman" w:hAnsi="Arial" w:cs="Arial"/>
          <w:noProof/>
          <w:lang w:eastAsia="es-AR"/>
        </w:rPr>
        <w:drawing>
          <wp:inline distT="0" distB="0" distL="0" distR="0">
            <wp:extent cx="1569000" cy="536642"/>
            <wp:effectExtent l="76200" t="95250" r="126450" b="92008"/>
            <wp:docPr id="2" name="Imagen 2" descr="Circuito electro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rcuito electronico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070" cy="5390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C0F56" w:rsidRPr="0059365B" w:rsidRDefault="001C0F56" w:rsidP="001C0F5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6C0A" w:themeColor="accent6" w:themeShade="BF"/>
          <w:lang w:eastAsia="es-AR"/>
        </w:rPr>
      </w:pPr>
      <w:r w:rsidRPr="0059365B">
        <w:rPr>
          <w:rFonts w:ascii="Arial" w:eastAsia="Times New Roman" w:hAnsi="Arial" w:cs="Arial"/>
          <w:b/>
          <w:bCs/>
          <w:color w:val="E36C0A" w:themeColor="accent6" w:themeShade="BF"/>
          <w:lang w:eastAsia="es-AR"/>
        </w:rPr>
        <w:t xml:space="preserve">Alimentación: </w:t>
      </w:r>
    </w:p>
    <w:p w:rsidR="001C0F56" w:rsidRPr="001C0F56" w:rsidRDefault="001C0F56" w:rsidP="001C0F56">
      <w:pPr>
        <w:numPr>
          <w:ilvl w:val="2"/>
          <w:numId w:val="1"/>
        </w:num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lang w:eastAsia="es-AR"/>
        </w:rPr>
      </w:pPr>
      <w:r w:rsidRPr="001C0F56">
        <w:rPr>
          <w:rFonts w:ascii="Arial" w:eastAsia="Times New Roman" w:hAnsi="Arial" w:cs="Arial"/>
          <w:lang w:eastAsia="es-AR"/>
        </w:rPr>
        <w:t xml:space="preserve">V max:  sin alimentación externa </w:t>
      </w:r>
    </w:p>
    <w:p w:rsidR="00F96F6E" w:rsidRDefault="001C0F56" w:rsidP="00F96F6E">
      <w:pPr>
        <w:numPr>
          <w:ilvl w:val="2"/>
          <w:numId w:val="1"/>
        </w:num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lang w:eastAsia="es-AR"/>
        </w:rPr>
      </w:pPr>
      <w:r w:rsidRPr="001C0F56">
        <w:rPr>
          <w:rFonts w:ascii="Arial" w:eastAsia="Times New Roman" w:hAnsi="Arial" w:cs="Arial"/>
          <w:lang w:eastAsia="es-AR"/>
        </w:rPr>
        <w:t xml:space="preserve">I  max:  </w:t>
      </w:r>
    </w:p>
    <w:p w:rsidR="001C0F56" w:rsidRPr="0059365B" w:rsidRDefault="001C0F56" w:rsidP="00F96F6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E36C0A" w:themeColor="accent6" w:themeShade="BF"/>
          <w:lang w:eastAsia="es-AR"/>
        </w:rPr>
      </w:pPr>
      <w:r w:rsidRPr="0059365B">
        <w:rPr>
          <w:rFonts w:ascii="Arial" w:eastAsia="Times New Roman" w:hAnsi="Arial" w:cs="Arial"/>
          <w:b/>
          <w:bCs/>
          <w:color w:val="E36C0A" w:themeColor="accent6" w:themeShade="BF"/>
          <w:lang w:eastAsia="es-AR"/>
        </w:rPr>
        <w:t>Componentes: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1"/>
        <w:gridCol w:w="2900"/>
        <w:gridCol w:w="3429"/>
      </w:tblGrid>
      <w:tr w:rsidR="001C0F56" w:rsidRPr="001C0F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0F56" w:rsidRPr="001C0F56" w:rsidRDefault="001C0F56" w:rsidP="001C0F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AR"/>
              </w:rPr>
            </w:pPr>
            <w:r w:rsidRPr="001C0F56">
              <w:rPr>
                <w:rFonts w:ascii="Arial" w:eastAsia="Times New Roman" w:hAnsi="Arial" w:cs="Arial"/>
                <w:color w:val="000000" w:themeColor="text1"/>
                <w:lang w:eastAsia="es-AR"/>
              </w:rPr>
              <w:t xml:space="preserve">R1 1 </w:t>
            </w:r>
            <w:proofErr w:type="spellStart"/>
            <w:r w:rsidRPr="001C0F56">
              <w:rPr>
                <w:rFonts w:ascii="Arial" w:eastAsia="Times New Roman" w:hAnsi="Arial" w:cs="Arial"/>
                <w:color w:val="000000" w:themeColor="text1"/>
                <w:lang w:eastAsia="es-AR"/>
              </w:rPr>
              <w:t>kΩ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C0F56" w:rsidRPr="001C0F56" w:rsidRDefault="001C0F56" w:rsidP="001C0F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AR"/>
              </w:rPr>
            </w:pPr>
            <w:r w:rsidRPr="001C0F56">
              <w:rPr>
                <w:rFonts w:ascii="Arial" w:eastAsia="Times New Roman" w:hAnsi="Arial" w:cs="Arial"/>
                <w:color w:val="000000" w:themeColor="text1"/>
                <w:lang w:eastAsia="es-AR"/>
              </w:rPr>
              <w:t xml:space="preserve">IC1 </w:t>
            </w:r>
            <w:hyperlink r:id="rId27" w:tgtFrame="_self" w:tooltip="Buscar datos sobre este componente electronico" w:history="1">
              <w:r w:rsidRPr="00F96F6E">
                <w:rPr>
                  <w:rFonts w:ascii="Arial" w:eastAsia="Times New Roman" w:hAnsi="Arial" w:cs="Arial"/>
                  <w:color w:val="000000" w:themeColor="text1"/>
                  <w:lang w:eastAsia="es-AR"/>
                </w:rPr>
                <w:t>LM741</w:t>
              </w:r>
            </w:hyperlink>
          </w:p>
        </w:tc>
        <w:tc>
          <w:tcPr>
            <w:tcW w:w="0" w:type="auto"/>
            <w:vAlign w:val="center"/>
            <w:hideMark/>
          </w:tcPr>
          <w:p w:rsidR="001C0F56" w:rsidRPr="001C0F56" w:rsidRDefault="001C0F56" w:rsidP="001C0F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AR"/>
              </w:rPr>
            </w:pPr>
            <w:r w:rsidRPr="001C0F56">
              <w:rPr>
                <w:rFonts w:ascii="Arial" w:eastAsia="Times New Roman" w:hAnsi="Arial" w:cs="Arial"/>
                <w:color w:val="000000" w:themeColor="text1"/>
                <w:lang w:eastAsia="es-AR"/>
              </w:rPr>
              <w:t xml:space="preserve">SCR1 </w:t>
            </w:r>
            <w:hyperlink r:id="rId28" w:tgtFrame="_self" w:tooltip="Buscar datos sobre este componente electronico" w:history="1">
              <w:r w:rsidRPr="00F96F6E">
                <w:rPr>
                  <w:rFonts w:ascii="Arial" w:eastAsia="Times New Roman" w:hAnsi="Arial" w:cs="Arial"/>
                  <w:color w:val="000000" w:themeColor="text1"/>
                  <w:lang w:eastAsia="es-AR"/>
                </w:rPr>
                <w:t>2N4441</w:t>
              </w:r>
            </w:hyperlink>
          </w:p>
        </w:tc>
      </w:tr>
      <w:tr w:rsidR="001C0F56" w:rsidRPr="001C0F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0F56" w:rsidRPr="001C0F56" w:rsidRDefault="001C0F56" w:rsidP="001C0F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AR"/>
              </w:rPr>
            </w:pPr>
            <w:r w:rsidRPr="001C0F56">
              <w:rPr>
                <w:rFonts w:ascii="Arial" w:eastAsia="Times New Roman" w:hAnsi="Arial" w:cs="Arial"/>
                <w:color w:val="000000" w:themeColor="text1"/>
                <w:lang w:eastAsia="es-AR"/>
              </w:rPr>
              <w:t>R2 potenciómetro</w:t>
            </w:r>
          </w:p>
        </w:tc>
        <w:tc>
          <w:tcPr>
            <w:tcW w:w="0" w:type="auto"/>
            <w:vAlign w:val="center"/>
            <w:hideMark/>
          </w:tcPr>
          <w:p w:rsidR="001C0F56" w:rsidRPr="001C0F56" w:rsidRDefault="001C0F56" w:rsidP="001C0F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AR"/>
              </w:rPr>
            </w:pPr>
            <w:r w:rsidRPr="001C0F56">
              <w:rPr>
                <w:rFonts w:ascii="Arial" w:eastAsia="Times New Roman" w:hAnsi="Arial" w:cs="Arial"/>
                <w:color w:val="000000" w:themeColor="text1"/>
                <w:lang w:eastAsia="es-AR"/>
              </w:rPr>
              <w:t xml:space="preserve">IC2 </w:t>
            </w:r>
            <w:hyperlink r:id="rId29" w:tgtFrame="_self" w:tooltip="Buscar datos sobre este componente electronico" w:history="1">
              <w:r w:rsidRPr="00F96F6E">
                <w:rPr>
                  <w:rFonts w:ascii="Arial" w:eastAsia="Times New Roman" w:hAnsi="Arial" w:cs="Arial"/>
                  <w:color w:val="000000" w:themeColor="text1"/>
                  <w:lang w:eastAsia="es-AR"/>
                </w:rPr>
                <w:t>LM7809</w:t>
              </w:r>
            </w:hyperlink>
          </w:p>
        </w:tc>
        <w:tc>
          <w:tcPr>
            <w:tcW w:w="0" w:type="auto"/>
            <w:vAlign w:val="center"/>
            <w:hideMark/>
          </w:tcPr>
          <w:p w:rsidR="001C0F56" w:rsidRPr="001C0F56" w:rsidRDefault="001C0F56" w:rsidP="001C0F5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es-AR"/>
              </w:rPr>
            </w:pPr>
          </w:p>
        </w:tc>
      </w:tr>
    </w:tbl>
    <w:p w:rsidR="00190A73" w:rsidRPr="00C858C1" w:rsidRDefault="00190A73" w:rsidP="0059365B">
      <w:pPr>
        <w:rPr>
          <w:rFonts w:ascii="Arial" w:hAnsi="Arial" w:cs="Arial"/>
        </w:rPr>
      </w:pPr>
    </w:p>
    <w:sectPr w:rsidR="00190A73" w:rsidRPr="00C858C1" w:rsidSect="00190A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453" w:rsidRDefault="00947453" w:rsidP="001C0F56">
      <w:pPr>
        <w:spacing w:after="0" w:line="240" w:lineRule="auto"/>
      </w:pPr>
      <w:r>
        <w:separator/>
      </w:r>
    </w:p>
  </w:endnote>
  <w:endnote w:type="continuationSeparator" w:id="0">
    <w:p w:rsidR="00947453" w:rsidRDefault="00947453" w:rsidP="001C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453" w:rsidRDefault="00947453" w:rsidP="001C0F56">
      <w:pPr>
        <w:spacing w:after="0" w:line="240" w:lineRule="auto"/>
      </w:pPr>
      <w:r>
        <w:separator/>
      </w:r>
    </w:p>
  </w:footnote>
  <w:footnote w:type="continuationSeparator" w:id="0">
    <w:p w:rsidR="00947453" w:rsidRDefault="00947453" w:rsidP="001C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777B"/>
    <w:multiLevelType w:val="hybridMultilevel"/>
    <w:tmpl w:val="D13A13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5441A"/>
    <w:multiLevelType w:val="multilevel"/>
    <w:tmpl w:val="D28A8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452183"/>
    <w:multiLevelType w:val="hybridMultilevel"/>
    <w:tmpl w:val="B7166A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F56"/>
    <w:rsid w:val="0007379D"/>
    <w:rsid w:val="000A24D5"/>
    <w:rsid w:val="00190A73"/>
    <w:rsid w:val="001C0F56"/>
    <w:rsid w:val="004909E8"/>
    <w:rsid w:val="0059365B"/>
    <w:rsid w:val="005F021B"/>
    <w:rsid w:val="00607886"/>
    <w:rsid w:val="00807214"/>
    <w:rsid w:val="00942932"/>
    <w:rsid w:val="00947453"/>
    <w:rsid w:val="00C858C1"/>
    <w:rsid w:val="00D75C61"/>
    <w:rsid w:val="00F9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A73"/>
  </w:style>
  <w:style w:type="paragraph" w:styleId="Ttulo2">
    <w:name w:val="heading 2"/>
    <w:basedOn w:val="Normal"/>
    <w:link w:val="Ttulo2Car"/>
    <w:uiPriority w:val="9"/>
    <w:qFormat/>
    <w:rsid w:val="001C0F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3"/>
      <w:szCs w:val="23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C0F56"/>
    <w:rPr>
      <w:rFonts w:ascii="Times New Roman" w:eastAsia="Times New Roman" w:hAnsi="Times New Roman" w:cs="Times New Roman"/>
      <w:b/>
      <w:bCs/>
      <w:sz w:val="23"/>
      <w:szCs w:val="23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1C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1C0F5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F5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C0F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0F56"/>
  </w:style>
  <w:style w:type="paragraph" w:styleId="Piedepgina">
    <w:name w:val="footer"/>
    <w:basedOn w:val="Normal"/>
    <w:link w:val="PiedepginaCar"/>
    <w:uiPriority w:val="99"/>
    <w:semiHidden/>
    <w:unhideWhenUsed/>
    <w:rsid w:val="001C0F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0F56"/>
  </w:style>
  <w:style w:type="paragraph" w:styleId="Prrafodelista">
    <w:name w:val="List Paragraph"/>
    <w:basedOn w:val="Normal"/>
    <w:uiPriority w:val="34"/>
    <w:qFormat/>
    <w:rsid w:val="00F96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Resistencia_el%C3%A9ctrica" TargetMode="External"/><Relationship Id="rId13" Type="http://schemas.openxmlformats.org/officeDocument/2006/relationships/hyperlink" Target="http://es.wikipedia.org/wiki/Componente_electr%C3%B3nico" TargetMode="External"/><Relationship Id="rId18" Type="http://schemas.openxmlformats.org/officeDocument/2006/relationships/image" Target="media/image1.gif"/><Relationship Id="rId26" Type="http://schemas.openxmlformats.org/officeDocument/2006/relationships/image" Target="media/image3.gif"/><Relationship Id="rId3" Type="http://schemas.openxmlformats.org/officeDocument/2006/relationships/styles" Target="styles.xml"/><Relationship Id="rId21" Type="http://schemas.openxmlformats.org/officeDocument/2006/relationships/hyperlink" Target="http://es.wikipedia.org/wiki/GHz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Interruptor_el%C3%A9ctrico" TargetMode="External"/><Relationship Id="rId17" Type="http://schemas.openxmlformats.org/officeDocument/2006/relationships/hyperlink" Target="http://es.wikipedia.org/wiki/Electr%C3%B3nica" TargetMode="External"/><Relationship Id="rId25" Type="http://schemas.openxmlformats.org/officeDocument/2006/relationships/image" Target="media/image2.gif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Electr%C3%B3nica" TargetMode="External"/><Relationship Id="rId20" Type="http://schemas.openxmlformats.org/officeDocument/2006/relationships/hyperlink" Target="http://es.wikipedia.org/wiki/Hercio" TargetMode="External"/><Relationship Id="rId29" Type="http://schemas.openxmlformats.org/officeDocument/2006/relationships/hyperlink" Target="http://www.electronicafacil.net/datasheets/buscar.php?componente=LM78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Fuente_el%C3%A9ctrica" TargetMode="External"/><Relationship Id="rId24" Type="http://schemas.openxmlformats.org/officeDocument/2006/relationships/hyperlink" Target="http://es.wikipedia.org/wiki/Anten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Corriente_alterna" TargetMode="External"/><Relationship Id="rId23" Type="http://schemas.openxmlformats.org/officeDocument/2006/relationships/hyperlink" Target="http://es.wikipedia.org/wiki/Corriente_alterna" TargetMode="External"/><Relationship Id="rId28" Type="http://schemas.openxmlformats.org/officeDocument/2006/relationships/hyperlink" Target="http://www.electronicafacil.net/datasheets/buscar.php?componente=2N4441" TargetMode="External"/><Relationship Id="rId10" Type="http://schemas.openxmlformats.org/officeDocument/2006/relationships/hyperlink" Target="http://es.wikipedia.org/wiki/Condensador_(el%C3%A9ctrico)" TargetMode="External"/><Relationship Id="rId19" Type="http://schemas.openxmlformats.org/officeDocument/2006/relationships/hyperlink" Target="http://es.wikipedia.org/wiki/Espectro_electromagn%C3%A9tico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Inductor" TargetMode="External"/><Relationship Id="rId14" Type="http://schemas.openxmlformats.org/officeDocument/2006/relationships/hyperlink" Target="http://es.wikipedia.org/wiki/Corriente_directa" TargetMode="External"/><Relationship Id="rId22" Type="http://schemas.openxmlformats.org/officeDocument/2006/relationships/hyperlink" Target="http://es.wikipedia.org/wiki/Onda_electromagn%C3%A9tica" TargetMode="External"/><Relationship Id="rId27" Type="http://schemas.openxmlformats.org/officeDocument/2006/relationships/hyperlink" Target="http://www.electronicafacil.net/datasheets/buscar.php?componente=LM74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2392-5F71-41CD-9AEF-F5493EA2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5</cp:revision>
  <dcterms:created xsi:type="dcterms:W3CDTF">2011-05-10T01:42:00Z</dcterms:created>
  <dcterms:modified xsi:type="dcterms:W3CDTF">2011-05-13T06:21:00Z</dcterms:modified>
</cp:coreProperties>
</file>